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成都市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妇女儿童中心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物业服务中心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  <w:t>合同编号：HC[2021]FEZX-002</w:t>
      </w: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7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直燃型冷热水机组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维护保养服务合同</w:t>
      </w:r>
      <w:r>
        <w:rPr>
          <w:rFonts w:hint="eastAsia" w:ascii="黑体" w:eastAsia="黑体"/>
          <w:color w:val="000000"/>
          <w:sz w:val="72"/>
          <w:szCs w:val="22"/>
        </w:rPr>
        <w:t>补充协议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hAnsi="Calibri" w:eastAsia="黑体"/>
          <w:b/>
          <w:bCs/>
          <w:color w:val="000000"/>
          <w:sz w:val="30"/>
          <w:szCs w:val="22"/>
        </w:rPr>
      </w:pPr>
      <w:r>
        <w:rPr>
          <w:rFonts w:hint="eastAsia" w:ascii="黑体" w:eastAsia="黑体"/>
          <w:b/>
          <w:bCs/>
          <w:color w:val="000000"/>
          <w:sz w:val="30"/>
        </w:rPr>
        <w:t>有效期：202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年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月1日----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甲方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与新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选聘的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直燃型冷热水机组维护</w:t>
      </w:r>
    </w:p>
    <w:p>
      <w:pPr>
        <w:spacing w:line="360" w:lineRule="auto"/>
        <w:ind w:left="3780" w:leftChars="0" w:firstLine="420" w:firstLineChars="0"/>
        <w:jc w:val="both"/>
        <w:rPr>
          <w:rFonts w:hint="eastAsia" w:ascii="黑体" w:eastAsia="黑体"/>
          <w:b/>
          <w:bCs/>
          <w:color w:val="000000"/>
          <w:sz w:val="30"/>
          <w:szCs w:val="22"/>
        </w:rPr>
      </w:pP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保养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单位签订合同生效之日止</w:t>
      </w: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黑体" w:eastAsia="黑体"/>
          <w:b/>
          <w:bCs/>
          <w:color w:val="000000"/>
          <w:sz w:val="36"/>
        </w:rPr>
      </w:pP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甲方：</w:t>
      </w:r>
      <w:r>
        <w:rPr>
          <w:rFonts w:hint="eastAsia" w:ascii="黑体" w:eastAsia="黑体"/>
          <w:color w:val="000000"/>
          <w:sz w:val="36"/>
          <w:szCs w:val="36"/>
        </w:rPr>
        <w:t>成都华昌物业发展有限责任公司</w:t>
      </w: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</w:rPr>
        <w:t>乙方：</w:t>
      </w:r>
      <w:r>
        <w:rPr>
          <w:rFonts w:hint="eastAsia" w:ascii="黑体" w:eastAsia="黑体"/>
          <w:b w:val="0"/>
          <w:bCs w:val="0"/>
          <w:color w:val="000000"/>
          <w:sz w:val="36"/>
        </w:rPr>
        <w:t>北京三汇能环科技发展有限公司</w:t>
      </w:r>
    </w:p>
    <w:p>
      <w:pPr>
        <w:spacing w:line="500" w:lineRule="exact"/>
        <w:ind w:firstLine="5421" w:firstLineChars="1800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val="en-US" w:eastAsia="zh-CN"/>
        </w:rPr>
        <w:sectPr>
          <w:pgSz w:w="11906" w:h="16838"/>
          <w:pgMar w:top="1418" w:right="1191" w:bottom="1191" w:left="1191" w:header="851" w:footer="0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甲乙双方于2019年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2日</w:t>
      </w:r>
      <w:r>
        <w:rPr>
          <w:rFonts w:hint="eastAsia" w:ascii="仿宋" w:hAnsi="仿宋" w:eastAsia="仿宋"/>
          <w:sz w:val="32"/>
          <w:szCs w:val="32"/>
        </w:rPr>
        <w:t>签订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合同编号：</w:t>
      </w:r>
      <w:r>
        <w:rPr>
          <w:rFonts w:hint="eastAsia" w:ascii="仿宋" w:hAnsi="仿宋" w:eastAsia="仿宋"/>
          <w:sz w:val="32"/>
          <w:szCs w:val="32"/>
        </w:rPr>
        <w:t>HCFE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</w:t>
      </w:r>
      <w:r>
        <w:rPr>
          <w:rFonts w:hint="eastAsia" w:ascii="仿宋" w:hAnsi="仿宋" w:eastAsia="仿宋"/>
          <w:sz w:val="32"/>
          <w:szCs w:val="32"/>
        </w:rPr>
        <w:t>-00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,该合同于2020年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月31日到期。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由于成都市</w:t>
      </w:r>
      <w:r>
        <w:rPr>
          <w:rFonts w:hint="eastAsia" w:ascii="仿宋" w:hAnsi="仿宋" w:eastAsia="仿宋"/>
          <w:sz w:val="32"/>
          <w:szCs w:val="32"/>
          <w:lang w:eastAsia="zh-CN"/>
        </w:rPr>
        <w:t>妇女联合会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/>
          <w:sz w:val="32"/>
          <w:szCs w:val="32"/>
        </w:rPr>
        <w:t>物业管理服务采购项目公开招标</w:t>
      </w:r>
      <w:r>
        <w:rPr>
          <w:rFonts w:hint="eastAsia" w:ascii="仿宋" w:hAnsi="仿宋" w:eastAsia="仿宋"/>
          <w:sz w:val="32"/>
          <w:szCs w:val="32"/>
          <w:lang w:eastAsia="zh-CN"/>
        </w:rPr>
        <w:t>正在进行中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直燃型冷热水机组维护保养服务</w:t>
      </w:r>
      <w:r>
        <w:rPr>
          <w:rFonts w:hint="eastAsia" w:ascii="仿宋" w:hAnsi="仿宋" w:eastAsia="仿宋"/>
          <w:sz w:val="32"/>
          <w:szCs w:val="32"/>
        </w:rPr>
        <w:t>项目采购工作无法在2020年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月31日前完成，为持续做好</w:t>
      </w:r>
      <w:r>
        <w:rPr>
          <w:rFonts w:hint="eastAsia" w:ascii="仿宋" w:hAnsi="仿宋" w:eastAsia="仿宋"/>
          <w:sz w:val="32"/>
          <w:szCs w:val="32"/>
          <w:lang w:eastAsia="zh-CN"/>
        </w:rPr>
        <w:t>成都市妇女儿童中心大楼</w:t>
      </w:r>
      <w:r>
        <w:rPr>
          <w:rFonts w:hint="eastAsia" w:ascii="仿宋" w:hAnsi="仿宋" w:eastAsia="仿宋"/>
          <w:sz w:val="32"/>
          <w:szCs w:val="32"/>
        </w:rPr>
        <w:t>物业服务工作，保障该</w:t>
      </w:r>
      <w:r>
        <w:rPr>
          <w:rFonts w:hint="eastAsia" w:ascii="仿宋" w:hAnsi="仿宋" w:eastAsia="仿宋"/>
          <w:sz w:val="32"/>
          <w:szCs w:val="32"/>
          <w:lang w:eastAsia="zh-CN"/>
        </w:rPr>
        <w:t>大楼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直燃型冷热水机组正常运行</w:t>
      </w:r>
      <w:r>
        <w:rPr>
          <w:rFonts w:hint="eastAsia" w:ascii="仿宋" w:hAnsi="仿宋" w:eastAsia="仿宋"/>
          <w:sz w:val="32"/>
          <w:szCs w:val="32"/>
        </w:rPr>
        <w:t>，经甲乙双方友好协商，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特对原合同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进行补充，</w:t>
      </w:r>
      <w:r>
        <w:rPr>
          <w:rFonts w:hint="eastAsia" w:ascii="仿宋" w:hAnsi="仿宋" w:eastAsia="仿宋"/>
          <w:sz w:val="32"/>
          <w:szCs w:val="32"/>
        </w:rPr>
        <w:t>订立以下补充协议：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本协议自202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月1日起，至该项目签订新的物业服务合同后，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/>
          <w:sz w:val="32"/>
          <w:szCs w:val="32"/>
        </w:rPr>
        <w:t>与新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选聘的直燃型冷热水机组维护保养</w:t>
      </w:r>
      <w:r>
        <w:rPr>
          <w:rFonts w:hint="eastAsia" w:ascii="仿宋" w:hAnsi="仿宋" w:eastAsia="仿宋"/>
          <w:sz w:val="32"/>
          <w:szCs w:val="32"/>
        </w:rPr>
        <w:t>单位签订合同生效之日止。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二、维保费用为¥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u w:val="single"/>
          <w:lang w:val="en-US" w:eastAsia="zh-CN"/>
        </w:rPr>
        <w:t>3916.66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元/月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大写：人民币叁仟玖佰壹拾柒元整），维保费用按月支付，不足一月时，以实际天数支付。协议期内甲方每月对乙方进行考核，乙方在考核合格后10个工作日内向甲方提供增值税专票，甲方在收到乙方有效票据后10个工作日内以银行转账的方式支付乙方维保费用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三、除本补充协议约定条款之外，甲乙双方各项权利义务均履行原合同约定条款。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四、本协议一式伍份，甲方执叁份，乙方执贰份，均具有同等法律效力。本合同自签订之日起生效。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（本页无正文）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甲方（签章）：成都华昌物业发展有限责任公司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日 期：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乙方（签章）：北京三汇能环科技发展有限公司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r>
        <w:rPr>
          <w:rFonts w:hint="eastAsia" w:ascii="仿宋" w:hAnsi="仿宋" w:eastAsia="仿宋"/>
          <w:spacing w:val="-20"/>
          <w:sz w:val="32"/>
          <w:szCs w:val="32"/>
        </w:rPr>
        <w:t xml:space="preserve">日 期： </w:t>
      </w:r>
      <w:bookmarkStart w:id="0" w:name="_GoBack"/>
      <w:bookmarkEnd w:id="0"/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         </w:t>
      </w:r>
    </w:p>
    <w:sectPr>
      <w:pgSz w:w="11906" w:h="16838"/>
      <w:pgMar w:top="1440" w:right="147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37C01"/>
    <w:rsid w:val="5EBC6B60"/>
    <w:rsid w:val="72D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2020-12-18T08:17:00Z</dcterms:created>
  <dc:creator>Administrator</dc:creator>
  <cp:lastModifiedBy>Administrator</cp:lastModifiedBy>
  <cp:lastPrinted>2021-01-04T07:54:11Z</cp:lastPrinted>
  <dcterms:modified xsi:type="dcterms:W3CDTF">2021-01-04T08:29:43Z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